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sthhbu1dcxa" w:id="0"/>
      <w:bookmarkEnd w:id="0"/>
      <w:r w:rsidDel="00000000" w:rsidR="00000000" w:rsidRPr="00000000">
        <w:rPr>
          <w:rtl w:val="0"/>
        </w:rPr>
        <w:t xml:space="preserve">Downloadable Checklist — SSL Certificate Types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☑ </w:t>
      </w:r>
      <w:r w:rsidDel="00000000" w:rsidR="00000000" w:rsidRPr="00000000">
        <w:rPr>
          <w:b w:val="1"/>
          <w:rtl w:val="0"/>
        </w:rPr>
        <w:t xml:space="preserve">DV SSL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Fast, domain-only validation</w:t>
        <w:br w:type="textWrapping"/>
        <w:t xml:space="preserve"> ☑ </w:t>
      </w:r>
      <w:r w:rsidDel="00000000" w:rsidR="00000000" w:rsidRPr="00000000">
        <w:rPr>
          <w:b w:val="1"/>
          <w:rtl w:val="0"/>
        </w:rPr>
        <w:t xml:space="preserve">OV SSL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Domain + organization validation</w:t>
        <w:br w:type="textWrapping"/>
        <w:t xml:space="preserve"> ☑ </w:t>
      </w:r>
      <w:r w:rsidDel="00000000" w:rsidR="00000000" w:rsidRPr="00000000">
        <w:rPr>
          <w:b w:val="1"/>
          <w:rtl w:val="0"/>
        </w:rPr>
        <w:t xml:space="preserve">EV SSL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Highest level of trust and validation</w:t>
        <w:br w:type="textWrapping"/>
        <w:t xml:space="preserve"> ☑ </w:t>
      </w:r>
      <w:r w:rsidDel="00000000" w:rsidR="00000000" w:rsidRPr="00000000">
        <w:rPr>
          <w:b w:val="1"/>
          <w:rtl w:val="0"/>
        </w:rPr>
        <w:t xml:space="preserve">Wildcard SSL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Protects a domain + unlimited subdomains</w:t>
        <w:br w:type="textWrapping"/>
        <w:t xml:space="preserve"> ☑ </w:t>
      </w:r>
      <w:r w:rsidDel="00000000" w:rsidR="00000000" w:rsidRPr="00000000">
        <w:rPr>
          <w:b w:val="1"/>
          <w:rtl w:val="0"/>
        </w:rPr>
        <w:t xml:space="preserve">Multi-Domain SSL (SAN)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Protects multiple domains in one cert</w:t>
        <w:br w:type="textWrapping"/>
        <w:t xml:space="preserve"> ☑ Choose based on scope, trust needs, and project size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